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23 vom 18. Februar 1976</w:t>
      </w:r>
    </w:p>
    <w:p>
      <w:r>
        <w:t>Bundesgericht (BGE), 1976-02-18, DE</w:t>
      </w:r>
    </w:p>
    <w:p>
      <w:r>
        <w:rPr>
          <w:b/>
        </w:rPr>
        <w:t xml:space="preserve">Quelle: </w:t>
      </w:r>
      <w:r>
        <w:t>https://mcp.opencaselaw.ch/entscheid/bge_102 IA 23</w:t>
      </w:r>
    </w:p>
    <w:p>
      <w:r>
        <w:t>FR: BGE 102 IA 23 du 18 février 1976</w:t>
      </w:r>
    </w:p>
    <w:p>
      <w:r>
        <w:t>IT: BGE 102 IA 23 del 18 febbraio 1976</w:t>
      </w:r>
    </w:p>
    <w:p>
      <w:pPr>
        <w:pStyle w:val="Heading2"/>
      </w:pPr>
      <w:r>
        <w:t>Regeste</w:t>
      </w:r>
    </w:p>
    <w:p>
      <w:r>
        <w:t>Regeste Art. 4 BV; Postulationsfähigkeit des amtlich verteidigten Angeklagten. Die Rückweisung einer Eingabe des Angeklagten mit der Begründung, dieser werde amtlich verteidigt, verletzt den bundesrechtlichen Gehörsanspruch jedenfalls dann, wenn es sich um ein förmliches Rechtsmittel handelt und der amtliche Verteidiger selber nicht innert Frist gehandelt hat.</w:t>
      </w:r>
    </w:p>
    <w:p>
      <w:pPr>
        <w:pStyle w:val="Heading2"/>
      </w:pPr>
      <w:r>
        <w:t>Erwägungen</w:t>
      </w:r>
    </w:p>
    <w:p>
      <w:r>
        <w:rPr>
          <w:b/>
        </w:rPr>
        <w:t>E. 2</w:t>
      </w:r>
    </w:p>
    <w:p>
      <w:r>
        <w:t>§ 61 Abs. 2 des Gesetzes vom 10. Dezember 1956 über die Strafprozessordnung im Kanton Schwyz (aStPO) lautet: "Dem Angeklagten, der nicht selber einen Verteidiger bestellt, ist ein amtlicher Verteidiger beizugeben: a) in kriminalgerichtlichen Fällen, b) in den übrigen Fällen, wenn besondere Umstände dies erfordern, namentlich wenn der Angeschuldigte wegen seiner Jugend oder Unerfahrenheit oder aus anderen Gründen nicht im Stande ist, seine Rechte zu wahren, wenn eine Freiheitsstrafe von mehr als sechs Monaten oder eine Verwahrung oder Versorgung in Frage steht oder wenn die Bedeutung der Strafsache dies rechtfertigt." Das Bezirksgericht hat dem Beschwerdeführer gestützt auf lit. b der angeführten Bestimmung einen amtlichen Verteidiger BGE 102 Ia 23 S. 25 bestellt und dies folgendermassen begründet: Der Angeklagte sei zwar als beruflich hervorragend qualifizierter Chirurg und Arzt bekannt; er sei jedoch in juristischer Hinsicht ein Laie und, wie das Gericht bei der Behandlung der zivilprozessualen Ehrverletzungsklage habe feststellen müssen, kaum in der Lage, seine Rechte gehörig zu wahren. Er kenne sich insbesondere in den Verfahrensvorschriften nicht genügend aus und könne die wesentlichen von den unerheblichen Faktoren nicht trennen. Angesichts der Bedeutung der Strafsache dränge sich deshalb im Interesse des Angeklagten und eines geordneten Verfahrens auf, dem Angeklagten einen amtlichen Verteidiger zu geben. Weder das Bezirksgericht noch das Kantonsgericht haben angenommen, dass dem Beschwerdeführer die notwendige Urteils- und damit die prozessuale Handlungsfähigkeit fehle. Das Kantonsgericht stützte die Rückweisung der von Dr. Schindler persönlich eingereichten Rechtsschrift einzig auf die Tatsache, dass dem Beschwerdeführer ein amtlicher Verteidiger bestellt worden sei. Streitig ist demnach, ob durch die amtliche Verteidigung die Postulationsfähigkeit des Beschwerdeführers, also die Befähigung, prozessuale Parteihandlungen persönlich vorzunehmen, aufgehoben worden ist. Nach § 17 lit. a der Verordnung vom 28. August 1974 über den Strafprozess im Kanton Schwyz (nStPO) ist der Angeschuldigte oder Angeklagte Partei im Strafverfahren. Gemäss § 18 Abs. 1 hat er das Recht, einen Verteidiger zu bestellen. Ist der Angeschuldigte nicht handlungsfähig, so steht dieses Recht auch seinem gesetzlichen Vertreter zu. § 135 Abs. 1 nStPO lautet: "Die Rechtsmittel stehen zu: a) den Parteien und ihren gesetzlichen Vertretern, b) dem Verteidiger, sofern der Vertretene nicht ausdrücklich auf das Rechtsmittel verzichtet, c) ...." Aus dem Wortlaut dieser Bestimmung geht nicht hervor, dass der formell verteidigte Beschuldigte lediglich darüber zu entscheiden hätte, ob ein Rechtsmittel zu ergreifen sei, dass er ein Rechtsmittel selbständig jedoch nicht einreichen könne. Die entsprechende Auffassung des Kantonsgerichts lässt sich demnach nicht auf den ausdrücklichen Gesetzestext stützen; sie wird vom Gesetzestext aber auch nicht geradezu ausgeschlossen. BGE 102 Ia 23 S. 26 Für die streitige Frage ergibt sich auch aus der Systematik von § 135 nStPO und aus lit. b dieser Bestimmung nichts eindeutiges. Wohl werden die Parteien in der Aufzählung der Personen, denen die Rechtsmittel "zustehen", an erster Stelle, vor dem Verteidiger genannt. Doch lässt sich dies hinreichend damit begründen, die Bestimmung gehe vorerst vom Fall aus, dass einer Partei kein Verteidiger zur Seite stehe; § 135 nStPO hat zudem nicht nur die Rechtsmittelbefugnis des Angeklagten, sondern auch die der übrigen am Strafverfahren Beteiligten zu regeln. Dass dem Verteidiger ein Rechtsmittel schliesslich nur dann zusteht, wenn der Vertretene nicht ausdrücklich darauf verzichtet hat, ergibt für die zu beurteilende Frage ebenfalls keinen eindeutigen Hinweis. Nach § 92 nStPO haben die "Richter, die Parteien und der Verteidiger" das Recht, an die Zeugen und Sachverständigen Fragen stellen zu lassen. Weiter setzt § 94 nStPO fest, dass dem Angeklagten das letzte Wort zusteht (vgl. ferner § 66 nStPO). Aus diesen beiden Bestimmungen ergibt sich in klarer Weise, dass dem amtlich verteidigten Angeklagten die Fähigkeit, prozessuale Parteihandlungen selbständig vorzunehmen, jedenfalls nicht vollständig entzogen ist. Allerdings lässt sich auch daraus die Frage, ob auf ein vom Angeklagten selbständig verfasstes und eingereichtes Rechtsmittel eingetreten werden muss, nicht eindeutig beantworten. Es kann demnach nicht gesagt werden, das Kantonsgericht habe mit seiner Verfügung die einschlägigen Bestimmungen des schwyzerischen Strafprozessrechts in geradezu willkürlicher Weise ausgelegt. Zu prüfen bleibt jedoch, ob die Rückweisung der von Dr. Schindler eingereichten Beschwerde vor dem aus Art. 4 BV fliessenden Gehörsanspruch standhält. Das Bundesgericht prüft diese Frage mit freier Kognition. Das schwyzerische Recht kennt für den Strafprozess - in Übereinstimmung mit den Regelungen der anderen Kantone - keinen eigentlichen Anwaltszwang. Vielmehr geht es davon aus, dass der prozessfähige Beschuldigte befugt ist, seine prozessualen Rechte entweder selbständig auszuüben oder dafür einen Verteidiger seiner Wahl beizuziehen. In den Fällen hingegen, die § 61 Abs. 2 nStPO umschreibt, ist dem Angeklagten, der nicht selber einen Vertreter bestellt hat, ein amtlicher Verteidiger beizugeben. Nach der heute vorherrschenden Rechtsauffassung ist die formelle Verteidigung eines Beschuldigten BGE 102 Ia 23 S. 27 im öffentlichen Interesse geboten, wenn kein blosser Bagatellfall zu beurteilen ist und der Anklagesachverhalt in tatsächlicher oder rechtlicher Hinsicht Schwierigkeiten bietet, denen der Beschuldigte nicht gewachsen ist. Damit wird nicht nur bezweckt, einen geordneten Ablauf des Verfahrens zu gewährleisten; die formelle Verteidigung soll vor allem dazu dienen, das materielle Ziel des Verfahrens zu erreichen; sie soll es dem Gericht ermöglichen, die Wahrheit zu finden und ein gerechtes Urteil zu fällen ( BGE 95 I 361 ; BGE 100 Ia 186 ff.). Ob und inwieweit auf einzelne, vom amtlich verteidigten Angeklagten selbständig verfasste und eingereichte Eingaben eingetreten werden muss, ist im vorliegenden Fall nicht umfassend zu prüfen (vgl. immerhin BGE 95 I 362 : vgl. zum Rückzug eines Rechtsmittels ferner: nicht veröffentlichtes Urteil Studer vom 3. Februar 1976). Es genügt die Feststellung, dass in einem Strafprozess jedenfalls nicht ein förmliches Rechtsmittel, das vom Angeklagten eingereicht worden ist, von der Hand gewiesen werden kann, wenn der amtliche Verteidiger selber nicht innert Frist gehandelt hat. Gerade so stellt sich der Sachverhalt dar, der hier zu beurteilen ist. Wie es sich verhält, wenn in einem Strafprozess sowohl der amtliche Verteidiger wie auch der Angeklagte ein Rechtsmittel eingereicht haben, kann demgegenüber offen bleiben. Ebenso muss in diesem Verfahren nicht beurteilt werden, wie es sich mit Eingaben verhält, die nicht in gleicher Weise wie ein förmliches Rechtsmittel unter Verwirkungsfolge innert einer bestimmten Frist eingereicht werden müssen, sondern dem Gericht jederzeit neu vorgelegt werden können. Wollte man auf eine förmliche Beschwerde des amtlich verteidigten Angeklagten nicht eintreten, wenn sein Beistand selber nicht gehandelt hat, so würden die Verteidigungsrechte des Beschuldigten in schwerwiegender Weise verkürzt. Dies verletzt den verfassungsmässigen Gehörsanspruch und verfehlt den Sinn und Geist der amtlichen Verteidigung. Das Kantonsgericht hat demnach dem Beschwerdeführer das Recht verweigert, indem es seine persönlich verfasste und eingereichte Rechtsschrift ohne nähere Prüfung zurückwies.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